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2C" w:rsidRDefault="00D8162C" w:rsidP="00D8162C">
      <w:pPr>
        <w:jc w:val="center"/>
        <w:rPr>
          <w:rFonts w:ascii="Times New Roman" w:hAnsi="Times New Roman" w:cs="Times New Roman"/>
          <w:b/>
          <w:sz w:val="24"/>
          <w:szCs w:val="24"/>
        </w:rPr>
      </w:pPr>
      <w:r w:rsidRPr="00D8162C">
        <w:rPr>
          <w:rFonts w:ascii="Times New Roman" w:hAnsi="Times New Roman" w:cs="Times New Roman"/>
          <w:b/>
          <w:sz w:val="24"/>
          <w:szCs w:val="24"/>
        </w:rPr>
        <w:t xml:space="preserve">Основные положения </w:t>
      </w:r>
    </w:p>
    <w:p w:rsidR="008C2958" w:rsidRPr="00D8162C" w:rsidRDefault="00D8162C" w:rsidP="00D8162C">
      <w:pPr>
        <w:jc w:val="center"/>
        <w:rPr>
          <w:rFonts w:ascii="Times New Roman" w:hAnsi="Times New Roman" w:cs="Times New Roman"/>
          <w:b/>
          <w:sz w:val="24"/>
          <w:szCs w:val="24"/>
        </w:rPr>
      </w:pPr>
      <w:r w:rsidRPr="00D8162C">
        <w:rPr>
          <w:rFonts w:ascii="Times New Roman" w:hAnsi="Times New Roman" w:cs="Times New Roman"/>
          <w:b/>
          <w:sz w:val="24"/>
          <w:szCs w:val="24"/>
        </w:rPr>
        <w:t>Учетной политики ФГБУ «СПб НИИФ» Минздрава России</w:t>
      </w:r>
    </w:p>
    <w:p w:rsidR="00CB0A56" w:rsidRPr="00E27605" w:rsidRDefault="00CB0A56" w:rsidP="00754FBA">
      <w:pPr>
        <w:jc w:val="both"/>
        <w:rPr>
          <w:rFonts w:ascii="Times New Roman" w:hAnsi="Times New Roman" w:cs="Times New Roman"/>
          <w:sz w:val="24"/>
          <w:szCs w:val="24"/>
        </w:rPr>
      </w:pPr>
      <w:r w:rsidRPr="00E27605">
        <w:rPr>
          <w:rFonts w:ascii="Times New Roman" w:hAnsi="Times New Roman" w:cs="Times New Roman"/>
          <w:sz w:val="24"/>
          <w:szCs w:val="24"/>
        </w:rPr>
        <w:t>Приказом</w:t>
      </w:r>
      <w:r w:rsidR="00940274">
        <w:rPr>
          <w:rFonts w:ascii="Times New Roman" w:hAnsi="Times New Roman" w:cs="Times New Roman"/>
          <w:sz w:val="24"/>
          <w:szCs w:val="24"/>
        </w:rPr>
        <w:t xml:space="preserve"> директора ФГБУ «СПб НИИФ» Минздрава России от 29.12.2018 г.</w:t>
      </w:r>
      <w:r w:rsidRPr="00E27605">
        <w:rPr>
          <w:rFonts w:ascii="Times New Roman" w:hAnsi="Times New Roman" w:cs="Times New Roman"/>
          <w:sz w:val="24"/>
          <w:szCs w:val="24"/>
        </w:rPr>
        <w:t xml:space="preserve"> №</w:t>
      </w:r>
      <w:r w:rsidR="00940274">
        <w:rPr>
          <w:rFonts w:ascii="Times New Roman" w:hAnsi="Times New Roman" w:cs="Times New Roman"/>
          <w:sz w:val="24"/>
          <w:szCs w:val="24"/>
        </w:rPr>
        <w:t xml:space="preserve"> </w:t>
      </w:r>
      <w:proofErr w:type="gramStart"/>
      <w:r w:rsidR="00940274">
        <w:rPr>
          <w:rFonts w:ascii="Times New Roman" w:hAnsi="Times New Roman" w:cs="Times New Roman"/>
          <w:sz w:val="24"/>
          <w:szCs w:val="24"/>
        </w:rPr>
        <w:t>516</w:t>
      </w:r>
      <w:r w:rsidRPr="00E27605">
        <w:rPr>
          <w:rFonts w:ascii="Times New Roman" w:hAnsi="Times New Roman" w:cs="Times New Roman"/>
          <w:sz w:val="24"/>
          <w:szCs w:val="24"/>
        </w:rPr>
        <w:t xml:space="preserve">  утверждена</w:t>
      </w:r>
      <w:proofErr w:type="gramEnd"/>
      <w:r w:rsidRPr="00E27605">
        <w:rPr>
          <w:rFonts w:ascii="Times New Roman" w:hAnsi="Times New Roman" w:cs="Times New Roman"/>
          <w:sz w:val="24"/>
          <w:szCs w:val="24"/>
        </w:rPr>
        <w:t xml:space="preserve"> новая редакция Учетной политики на 2019 год, разделами которой остановлены основные положения:</w:t>
      </w:r>
    </w:p>
    <w:p w:rsidR="00CB0A56" w:rsidRPr="00E27605" w:rsidRDefault="00CB0A56" w:rsidP="00E27605">
      <w:pPr>
        <w:pStyle w:val="a3"/>
        <w:jc w:val="center"/>
        <w:rPr>
          <w:rFonts w:ascii="Times New Roman" w:hAnsi="Times New Roman" w:cs="Times New Roman"/>
          <w:b/>
          <w:sz w:val="26"/>
          <w:szCs w:val="26"/>
        </w:rPr>
      </w:pPr>
      <w:r w:rsidRPr="00E27605">
        <w:rPr>
          <w:rFonts w:ascii="Times New Roman" w:hAnsi="Times New Roman" w:cs="Times New Roman"/>
          <w:b/>
          <w:sz w:val="26"/>
          <w:szCs w:val="26"/>
        </w:rPr>
        <w:t>Организация и методология бухгалтерского учета</w:t>
      </w:r>
    </w:p>
    <w:p w:rsidR="00CB0A56" w:rsidRPr="00E27605" w:rsidRDefault="00E27605" w:rsidP="00E27605">
      <w:pPr>
        <w:pStyle w:val="a3"/>
        <w:numPr>
          <w:ilvl w:val="0"/>
          <w:numId w:val="4"/>
        </w:numPr>
        <w:jc w:val="both"/>
        <w:rPr>
          <w:rFonts w:ascii="Times New Roman" w:hAnsi="Times New Roman" w:cs="Times New Roman"/>
          <w:sz w:val="24"/>
          <w:szCs w:val="24"/>
        </w:rPr>
      </w:pPr>
      <w:r w:rsidRPr="00E27605">
        <w:rPr>
          <w:rFonts w:ascii="Times New Roman" w:hAnsi="Times New Roman" w:cs="Times New Roman"/>
          <w:sz w:val="24"/>
          <w:szCs w:val="24"/>
        </w:rPr>
        <w:t>Ф</w:t>
      </w:r>
      <w:r w:rsidR="00CB0A56" w:rsidRPr="00E27605">
        <w:rPr>
          <w:rFonts w:ascii="Times New Roman" w:hAnsi="Times New Roman" w:cs="Times New Roman"/>
          <w:sz w:val="24"/>
          <w:szCs w:val="24"/>
        </w:rPr>
        <w:t>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РФ не предусмотрены обязательные для их оформления формы документов;</w:t>
      </w:r>
    </w:p>
    <w:p w:rsidR="00E27605" w:rsidRPr="00E27605" w:rsidRDefault="00E27605" w:rsidP="00E27605">
      <w:pPr>
        <w:pStyle w:val="a3"/>
        <w:numPr>
          <w:ilvl w:val="0"/>
          <w:numId w:val="4"/>
        </w:numPr>
        <w:jc w:val="both"/>
        <w:rPr>
          <w:rFonts w:ascii="Times New Roman" w:hAnsi="Times New Roman" w:cs="Times New Roman"/>
          <w:sz w:val="24"/>
          <w:szCs w:val="24"/>
        </w:rPr>
      </w:pPr>
      <w:r w:rsidRPr="00E27605">
        <w:rPr>
          <w:rFonts w:ascii="Times New Roman" w:hAnsi="Times New Roman" w:cs="Times New Roman"/>
          <w:sz w:val="24"/>
          <w:szCs w:val="24"/>
        </w:rPr>
        <w:t>Рабочий план счетов бухгалтерского учета;</w:t>
      </w:r>
    </w:p>
    <w:p w:rsidR="00E27605" w:rsidRPr="00E27605" w:rsidRDefault="00E27605" w:rsidP="00E27605">
      <w:pPr>
        <w:pStyle w:val="a4"/>
        <w:numPr>
          <w:ilvl w:val="0"/>
          <w:numId w:val="4"/>
        </w:numPr>
        <w:jc w:val="both"/>
        <w:rPr>
          <w:rFonts w:ascii="Times New Roman" w:eastAsia="Times New Roman" w:hAnsi="Times New Roman" w:cs="Times New Roman"/>
          <w:spacing w:val="5"/>
          <w:sz w:val="24"/>
          <w:szCs w:val="24"/>
          <w:lang w:eastAsia="ru-RU"/>
        </w:rPr>
      </w:pPr>
      <w:bookmarkStart w:id="0" w:name="_title_5"/>
      <w:bookmarkStart w:id="1" w:name="_ref_561051"/>
      <w:r w:rsidRPr="00E27605">
        <w:rPr>
          <w:rFonts w:ascii="Times New Roman" w:eastAsia="Times New Roman" w:hAnsi="Times New Roman" w:cs="Times New Roman"/>
          <w:spacing w:val="5"/>
          <w:sz w:val="24"/>
          <w:szCs w:val="24"/>
          <w:lang w:eastAsia="ru-RU"/>
        </w:rPr>
        <w:t>Правила и график документооборота, а также технология обработки учетной информации</w:t>
      </w:r>
      <w:bookmarkEnd w:id="0"/>
      <w:bookmarkEnd w:id="1"/>
      <w:r w:rsidRPr="00E27605">
        <w:rPr>
          <w:rFonts w:ascii="Times New Roman" w:eastAsia="Times New Roman" w:hAnsi="Times New Roman" w:cs="Times New Roman"/>
          <w:spacing w:val="5"/>
          <w:sz w:val="24"/>
          <w:szCs w:val="24"/>
          <w:lang w:eastAsia="ru-RU"/>
        </w:rPr>
        <w:t>;</w:t>
      </w:r>
    </w:p>
    <w:p w:rsidR="00E27605" w:rsidRPr="00E27605" w:rsidRDefault="00E27605" w:rsidP="00E27605">
      <w:pPr>
        <w:pStyle w:val="a3"/>
        <w:keepNext/>
        <w:keepLines/>
        <w:numPr>
          <w:ilvl w:val="0"/>
          <w:numId w:val="4"/>
        </w:numPr>
        <w:spacing w:before="120" w:after="300" w:line="240" w:lineRule="auto"/>
        <w:jc w:val="both"/>
        <w:outlineLvl w:val="0"/>
        <w:rPr>
          <w:rFonts w:ascii="Times New Roman" w:eastAsia="Times New Roman" w:hAnsi="Times New Roman" w:cs="Times New Roman"/>
          <w:spacing w:val="5"/>
          <w:kern w:val="28"/>
          <w:sz w:val="24"/>
          <w:szCs w:val="24"/>
          <w:lang w:eastAsia="ru-RU"/>
        </w:rPr>
      </w:pPr>
      <w:bookmarkStart w:id="2" w:name="_title_7"/>
      <w:bookmarkStart w:id="3" w:name="_ref_578623"/>
      <w:r w:rsidRPr="00E27605">
        <w:rPr>
          <w:rFonts w:ascii="Times New Roman" w:eastAsia="Times New Roman" w:hAnsi="Times New Roman" w:cs="Times New Roman"/>
          <w:spacing w:val="5"/>
          <w:kern w:val="28"/>
          <w:sz w:val="24"/>
          <w:szCs w:val="24"/>
          <w:lang w:eastAsia="ru-RU"/>
        </w:rPr>
        <w:t>Порядок организации и осуществления внутреннего контроля</w:t>
      </w:r>
      <w:bookmarkEnd w:id="2"/>
      <w:bookmarkEnd w:id="3"/>
      <w:r w:rsidRPr="00E27605">
        <w:rPr>
          <w:rFonts w:ascii="Times New Roman" w:eastAsia="Times New Roman" w:hAnsi="Times New Roman" w:cs="Times New Roman"/>
          <w:spacing w:val="5"/>
          <w:kern w:val="28"/>
          <w:sz w:val="24"/>
          <w:szCs w:val="24"/>
          <w:lang w:eastAsia="ru-RU"/>
        </w:rPr>
        <w:t>;</w:t>
      </w:r>
    </w:p>
    <w:p w:rsidR="00E27605" w:rsidRDefault="00E27605" w:rsidP="00E27605">
      <w:pPr>
        <w:pStyle w:val="a3"/>
        <w:keepNext/>
        <w:keepLines/>
        <w:numPr>
          <w:ilvl w:val="0"/>
          <w:numId w:val="4"/>
        </w:numPr>
        <w:spacing w:before="120" w:after="300" w:line="240" w:lineRule="auto"/>
        <w:jc w:val="both"/>
        <w:outlineLvl w:val="0"/>
        <w:rPr>
          <w:rFonts w:ascii="Times New Roman" w:eastAsia="Times New Roman" w:hAnsi="Times New Roman" w:cs="Times New Roman"/>
          <w:spacing w:val="5"/>
          <w:kern w:val="28"/>
          <w:sz w:val="24"/>
          <w:szCs w:val="24"/>
          <w:lang w:eastAsia="ru-RU"/>
        </w:rPr>
      </w:pPr>
      <w:r w:rsidRPr="00E27605">
        <w:rPr>
          <w:rFonts w:ascii="Times New Roman" w:eastAsia="Times New Roman" w:hAnsi="Times New Roman" w:cs="Times New Roman"/>
          <w:spacing w:val="5"/>
          <w:kern w:val="28"/>
          <w:sz w:val="24"/>
          <w:szCs w:val="24"/>
          <w:lang w:eastAsia="ru-RU"/>
        </w:rPr>
        <w:t>Порядок признания в бухгалтерском учете и раскрытия в отчетности событий после отчетной даты;</w:t>
      </w:r>
    </w:p>
    <w:p w:rsidR="00E27605" w:rsidRDefault="00E27605" w:rsidP="00E27605">
      <w:pPr>
        <w:keepNext/>
        <w:keepLines/>
        <w:spacing w:before="120" w:after="300" w:line="240" w:lineRule="auto"/>
        <w:jc w:val="center"/>
        <w:outlineLvl w:val="0"/>
        <w:rPr>
          <w:rFonts w:ascii="Times New Roman" w:eastAsia="Times New Roman" w:hAnsi="Times New Roman" w:cs="Times New Roman"/>
          <w:b/>
          <w:spacing w:val="5"/>
          <w:kern w:val="28"/>
          <w:sz w:val="26"/>
          <w:szCs w:val="26"/>
          <w:lang w:eastAsia="ru-RU"/>
        </w:rPr>
      </w:pPr>
      <w:r w:rsidRPr="00E27605">
        <w:rPr>
          <w:rFonts w:ascii="Times New Roman" w:eastAsia="Times New Roman" w:hAnsi="Times New Roman" w:cs="Times New Roman"/>
          <w:b/>
          <w:spacing w:val="5"/>
          <w:kern w:val="28"/>
          <w:sz w:val="26"/>
          <w:szCs w:val="26"/>
          <w:lang w:eastAsia="ru-RU"/>
        </w:rPr>
        <w:t>Учет отдельных видов имущества и обязательств</w:t>
      </w:r>
    </w:p>
    <w:p w:rsidR="00754FBA" w:rsidRDefault="00754FBA" w:rsidP="00754FBA">
      <w:pPr>
        <w:pStyle w:val="a3"/>
        <w:keepNext/>
        <w:keepLines/>
        <w:numPr>
          <w:ilvl w:val="0"/>
          <w:numId w:val="6"/>
        </w:numPr>
        <w:spacing w:before="120" w:after="300" w:line="240" w:lineRule="auto"/>
        <w:jc w:val="both"/>
        <w:outlineLvl w:val="0"/>
        <w:rPr>
          <w:rFonts w:ascii="Times New Roman" w:eastAsia="Times New Roman" w:hAnsi="Times New Roman" w:cs="Times New Roman"/>
          <w:spacing w:val="5"/>
          <w:kern w:val="28"/>
          <w:sz w:val="24"/>
          <w:szCs w:val="24"/>
          <w:lang w:eastAsia="ru-RU"/>
        </w:rPr>
      </w:pPr>
      <w:r w:rsidRPr="00754FBA">
        <w:rPr>
          <w:rFonts w:ascii="Times New Roman" w:eastAsia="Times New Roman" w:hAnsi="Times New Roman" w:cs="Times New Roman"/>
          <w:spacing w:val="5"/>
          <w:kern w:val="28"/>
          <w:sz w:val="24"/>
          <w:szCs w:val="24"/>
          <w:lang w:eastAsia="ru-RU"/>
        </w:rPr>
        <w:t xml:space="preserve">Методы </w:t>
      </w:r>
      <w:r>
        <w:rPr>
          <w:rFonts w:ascii="Times New Roman" w:eastAsia="Times New Roman" w:hAnsi="Times New Roman" w:cs="Times New Roman"/>
          <w:spacing w:val="5"/>
          <w:kern w:val="28"/>
          <w:sz w:val="24"/>
          <w:szCs w:val="24"/>
          <w:lang w:eastAsia="ru-RU"/>
        </w:rPr>
        <w:t>оценки объектов бухгалтерского учета, порядок признания (постановки на учет), прекращение признания (выбытия из учета) объектов бухгалтерского учета и (или) раскрытия информации о них в бухгалтерской (финансовой) отчетности;</w:t>
      </w:r>
    </w:p>
    <w:p w:rsidR="00E27605" w:rsidRDefault="00754FBA" w:rsidP="00754FBA">
      <w:pPr>
        <w:pStyle w:val="a3"/>
        <w:keepNext/>
        <w:keepLines/>
        <w:numPr>
          <w:ilvl w:val="0"/>
          <w:numId w:val="6"/>
        </w:numPr>
        <w:spacing w:before="120" w:after="300" w:line="240" w:lineRule="auto"/>
        <w:jc w:val="both"/>
        <w:outlineLvl w:val="0"/>
        <w:rPr>
          <w:rFonts w:ascii="Times New Roman" w:eastAsia="Times New Roman" w:hAnsi="Times New Roman" w:cs="Times New Roman"/>
          <w:spacing w:val="5"/>
          <w:kern w:val="28"/>
          <w:sz w:val="24"/>
          <w:szCs w:val="24"/>
          <w:lang w:eastAsia="ru-RU"/>
        </w:rPr>
      </w:pPr>
      <w:r>
        <w:rPr>
          <w:rFonts w:ascii="Times New Roman" w:eastAsia="Times New Roman" w:hAnsi="Times New Roman" w:cs="Times New Roman"/>
          <w:spacing w:val="5"/>
          <w:kern w:val="28"/>
          <w:sz w:val="24"/>
          <w:szCs w:val="24"/>
          <w:lang w:eastAsia="ru-RU"/>
        </w:rPr>
        <w:t xml:space="preserve">Порядок проведения инвентаризации активов, имущества, учитываемого на </w:t>
      </w:r>
      <w:proofErr w:type="spellStart"/>
      <w:r>
        <w:rPr>
          <w:rFonts w:ascii="Times New Roman" w:eastAsia="Times New Roman" w:hAnsi="Times New Roman" w:cs="Times New Roman"/>
          <w:spacing w:val="5"/>
          <w:kern w:val="28"/>
          <w:sz w:val="24"/>
          <w:szCs w:val="24"/>
          <w:lang w:eastAsia="ru-RU"/>
        </w:rPr>
        <w:t>забалансовых</w:t>
      </w:r>
      <w:proofErr w:type="spellEnd"/>
      <w:r>
        <w:rPr>
          <w:rFonts w:ascii="Times New Roman" w:eastAsia="Times New Roman" w:hAnsi="Times New Roman" w:cs="Times New Roman"/>
          <w:spacing w:val="5"/>
          <w:kern w:val="28"/>
          <w:sz w:val="24"/>
          <w:szCs w:val="24"/>
          <w:lang w:eastAsia="ru-RU"/>
        </w:rPr>
        <w:t xml:space="preserve"> счетах, обязательств, иных объектов бухгалтерского учета;</w:t>
      </w:r>
    </w:p>
    <w:p w:rsidR="00E27605" w:rsidRDefault="00754FBA" w:rsidP="00754FBA">
      <w:pPr>
        <w:pStyle w:val="a3"/>
        <w:keepNext/>
        <w:keepLines/>
        <w:numPr>
          <w:ilvl w:val="0"/>
          <w:numId w:val="6"/>
        </w:numPr>
        <w:spacing w:before="120" w:after="300" w:line="240" w:lineRule="auto"/>
        <w:jc w:val="both"/>
        <w:outlineLvl w:val="0"/>
        <w:rPr>
          <w:rFonts w:ascii="Times New Roman" w:eastAsia="Times New Roman" w:hAnsi="Times New Roman" w:cs="Times New Roman"/>
          <w:spacing w:val="5"/>
          <w:kern w:val="28"/>
          <w:sz w:val="24"/>
          <w:szCs w:val="24"/>
          <w:lang w:eastAsia="ru-RU"/>
        </w:rPr>
      </w:pPr>
      <w:r w:rsidRPr="00754FBA">
        <w:rPr>
          <w:rFonts w:ascii="Times New Roman" w:eastAsia="Times New Roman" w:hAnsi="Times New Roman" w:cs="Times New Roman"/>
          <w:spacing w:val="5"/>
          <w:kern w:val="28"/>
          <w:sz w:val="24"/>
          <w:szCs w:val="24"/>
          <w:lang w:eastAsia="ru-RU"/>
        </w:rPr>
        <w:t>Иные способы ведения бухгалтерского учета, необход</w:t>
      </w:r>
      <w:r>
        <w:rPr>
          <w:rFonts w:ascii="Times New Roman" w:eastAsia="Times New Roman" w:hAnsi="Times New Roman" w:cs="Times New Roman"/>
          <w:spacing w:val="5"/>
          <w:kern w:val="28"/>
          <w:sz w:val="24"/>
          <w:szCs w:val="24"/>
          <w:lang w:eastAsia="ru-RU"/>
        </w:rPr>
        <w:t>имые для организации ведения учета и формирования отчетности</w:t>
      </w:r>
    </w:p>
    <w:p w:rsidR="00754FBA" w:rsidRPr="00754FBA" w:rsidRDefault="00754FBA" w:rsidP="00754FBA">
      <w:pPr>
        <w:keepNext/>
        <w:keepLines/>
        <w:spacing w:before="120" w:after="300" w:line="240" w:lineRule="auto"/>
        <w:jc w:val="center"/>
        <w:outlineLvl w:val="0"/>
        <w:rPr>
          <w:rFonts w:ascii="Times New Roman" w:eastAsia="Times New Roman" w:hAnsi="Times New Roman" w:cs="Times New Roman"/>
          <w:b/>
          <w:spacing w:val="5"/>
          <w:kern w:val="28"/>
          <w:sz w:val="26"/>
          <w:szCs w:val="26"/>
          <w:lang w:eastAsia="ru-RU"/>
        </w:rPr>
      </w:pPr>
      <w:r w:rsidRPr="00754FBA">
        <w:rPr>
          <w:rFonts w:ascii="Times New Roman" w:eastAsia="Times New Roman" w:hAnsi="Times New Roman" w:cs="Times New Roman"/>
          <w:b/>
          <w:spacing w:val="5"/>
          <w:kern w:val="28"/>
          <w:sz w:val="26"/>
          <w:szCs w:val="26"/>
          <w:lang w:eastAsia="ru-RU"/>
        </w:rPr>
        <w:t>Бухгалтерская (финансовая) отчетность</w:t>
      </w:r>
    </w:p>
    <w:p w:rsidR="00754FBA" w:rsidRPr="00754FBA" w:rsidRDefault="00754FBA" w:rsidP="00754FBA">
      <w:pPr>
        <w:pStyle w:val="a3"/>
        <w:keepNext/>
        <w:keepLines/>
        <w:numPr>
          <w:ilvl w:val="0"/>
          <w:numId w:val="8"/>
        </w:numPr>
        <w:spacing w:before="120" w:after="300" w:line="240" w:lineRule="auto"/>
        <w:jc w:val="both"/>
        <w:outlineLvl w:val="0"/>
        <w:rPr>
          <w:rFonts w:ascii="Times New Roman" w:eastAsia="Times New Roman" w:hAnsi="Times New Roman" w:cs="Times New Roman"/>
          <w:spacing w:val="5"/>
          <w:kern w:val="28"/>
          <w:sz w:val="24"/>
          <w:szCs w:val="24"/>
          <w:lang w:eastAsia="ru-RU"/>
        </w:rPr>
      </w:pPr>
      <w:r>
        <w:rPr>
          <w:rFonts w:ascii="Times New Roman" w:eastAsia="Times New Roman" w:hAnsi="Times New Roman" w:cs="Times New Roman"/>
          <w:spacing w:val="5"/>
          <w:kern w:val="28"/>
          <w:sz w:val="24"/>
          <w:szCs w:val="24"/>
          <w:lang w:eastAsia="ru-RU"/>
        </w:rPr>
        <w:t>Бухгалтерская отчетность формируется и хранится в форме электронного документа в информационной системе подсистемы ГИИС «</w:t>
      </w:r>
      <w:r w:rsidR="00940274">
        <w:rPr>
          <w:rFonts w:ascii="Times New Roman" w:eastAsia="Times New Roman" w:hAnsi="Times New Roman" w:cs="Times New Roman"/>
          <w:spacing w:val="5"/>
          <w:kern w:val="28"/>
          <w:sz w:val="24"/>
          <w:szCs w:val="24"/>
          <w:lang w:eastAsia="ru-RU"/>
        </w:rPr>
        <w:t>Э</w:t>
      </w:r>
      <w:r>
        <w:rPr>
          <w:rFonts w:ascii="Times New Roman" w:eastAsia="Times New Roman" w:hAnsi="Times New Roman" w:cs="Times New Roman"/>
          <w:spacing w:val="5"/>
          <w:kern w:val="28"/>
          <w:sz w:val="24"/>
          <w:szCs w:val="24"/>
          <w:lang w:eastAsia="ru-RU"/>
        </w:rPr>
        <w:t>лектронный бюджет». Копия комплекта отчетности на бумажном носителе хранится у главного бухгалтера в соответствии с установленными сроками хранения.</w:t>
      </w:r>
    </w:p>
    <w:p w:rsidR="00CB0A56" w:rsidRDefault="00754FBA" w:rsidP="00754FBA">
      <w:pPr>
        <w:jc w:val="center"/>
        <w:rPr>
          <w:rFonts w:ascii="Times New Roman" w:hAnsi="Times New Roman" w:cs="Times New Roman"/>
          <w:b/>
          <w:sz w:val="26"/>
          <w:szCs w:val="26"/>
        </w:rPr>
      </w:pPr>
      <w:r w:rsidRPr="00754FBA">
        <w:rPr>
          <w:rFonts w:ascii="Times New Roman" w:hAnsi="Times New Roman" w:cs="Times New Roman"/>
          <w:b/>
          <w:sz w:val="26"/>
          <w:szCs w:val="26"/>
        </w:rPr>
        <w:t>Приложения к Учетной политике</w:t>
      </w:r>
    </w:p>
    <w:p w:rsidR="00754FBA" w:rsidRPr="00323908" w:rsidRDefault="00754FBA" w:rsidP="00323908">
      <w:pPr>
        <w:pStyle w:val="a3"/>
        <w:numPr>
          <w:ilvl w:val="0"/>
          <w:numId w:val="9"/>
        </w:numPr>
        <w:jc w:val="both"/>
        <w:rPr>
          <w:rFonts w:ascii="Times New Roman" w:hAnsi="Times New Roman" w:cs="Times New Roman"/>
          <w:sz w:val="24"/>
          <w:szCs w:val="24"/>
        </w:rPr>
      </w:pPr>
      <w:r w:rsidRPr="00323908">
        <w:rPr>
          <w:rFonts w:ascii="Times New Roman" w:hAnsi="Times New Roman" w:cs="Times New Roman"/>
          <w:sz w:val="24"/>
          <w:szCs w:val="24"/>
        </w:rPr>
        <w:t>Положение о бухгалтерии;</w:t>
      </w:r>
    </w:p>
    <w:p w:rsidR="00754FBA" w:rsidRPr="00323908" w:rsidRDefault="00754FBA" w:rsidP="00323908">
      <w:pPr>
        <w:pStyle w:val="a3"/>
        <w:numPr>
          <w:ilvl w:val="0"/>
          <w:numId w:val="9"/>
        </w:numPr>
        <w:jc w:val="both"/>
        <w:rPr>
          <w:rFonts w:ascii="Times New Roman" w:hAnsi="Times New Roman" w:cs="Times New Roman"/>
          <w:sz w:val="24"/>
          <w:szCs w:val="24"/>
        </w:rPr>
      </w:pPr>
      <w:r w:rsidRPr="00323908">
        <w:rPr>
          <w:rFonts w:ascii="Times New Roman" w:hAnsi="Times New Roman" w:cs="Times New Roman"/>
          <w:sz w:val="24"/>
          <w:szCs w:val="24"/>
        </w:rPr>
        <w:t xml:space="preserve">План счетов бухгалтерского учета и план </w:t>
      </w:r>
      <w:proofErr w:type="spellStart"/>
      <w:r w:rsidRPr="00323908">
        <w:rPr>
          <w:rFonts w:ascii="Times New Roman" w:hAnsi="Times New Roman" w:cs="Times New Roman"/>
          <w:sz w:val="24"/>
          <w:szCs w:val="24"/>
        </w:rPr>
        <w:t>забалансовых</w:t>
      </w:r>
      <w:proofErr w:type="spellEnd"/>
      <w:r w:rsidRPr="00323908">
        <w:rPr>
          <w:rFonts w:ascii="Times New Roman" w:hAnsi="Times New Roman" w:cs="Times New Roman"/>
          <w:sz w:val="24"/>
          <w:szCs w:val="24"/>
        </w:rPr>
        <w:t xml:space="preserve"> счетов;</w:t>
      </w:r>
    </w:p>
    <w:p w:rsidR="00323908" w:rsidRPr="00323908" w:rsidRDefault="00323908" w:rsidP="00323908">
      <w:pPr>
        <w:pStyle w:val="2"/>
        <w:numPr>
          <w:ilvl w:val="0"/>
          <w:numId w:val="9"/>
        </w:numPr>
        <w:rPr>
          <w:kern w:val="32"/>
          <w:sz w:val="24"/>
          <w:szCs w:val="24"/>
        </w:rPr>
      </w:pPr>
      <w:r w:rsidRPr="00323908">
        <w:rPr>
          <w:kern w:val="32"/>
          <w:sz w:val="24"/>
          <w:szCs w:val="24"/>
        </w:rPr>
        <w:t>Формы</w:t>
      </w:r>
      <w:r>
        <w:rPr>
          <w:kern w:val="32"/>
          <w:sz w:val="24"/>
          <w:szCs w:val="24"/>
        </w:rPr>
        <w:t xml:space="preserve"> </w:t>
      </w:r>
      <w:r w:rsidRPr="00323908">
        <w:rPr>
          <w:kern w:val="32"/>
          <w:sz w:val="24"/>
          <w:szCs w:val="24"/>
        </w:rPr>
        <w:t>первичных документов, применяемые для оформления финансово-хозяйственных операций, по которым отсутствуют унифицированные формы первичной учетной документации</w:t>
      </w:r>
      <w:r w:rsidR="00387FB0">
        <w:rPr>
          <w:kern w:val="32"/>
          <w:sz w:val="24"/>
          <w:szCs w:val="24"/>
        </w:rPr>
        <w:t>;</w:t>
      </w:r>
    </w:p>
    <w:p w:rsidR="00754FBA" w:rsidRDefault="00323908" w:rsidP="00323908">
      <w:pPr>
        <w:pStyle w:val="a3"/>
        <w:numPr>
          <w:ilvl w:val="0"/>
          <w:numId w:val="9"/>
        </w:numPr>
        <w:jc w:val="both"/>
        <w:rPr>
          <w:rFonts w:ascii="Times New Roman" w:hAnsi="Times New Roman" w:cs="Times New Roman"/>
          <w:sz w:val="24"/>
          <w:szCs w:val="24"/>
        </w:rPr>
      </w:pPr>
      <w:r w:rsidRPr="00323908">
        <w:rPr>
          <w:rFonts w:ascii="Times New Roman" w:hAnsi="Times New Roman" w:cs="Times New Roman"/>
          <w:sz w:val="24"/>
          <w:szCs w:val="24"/>
        </w:rPr>
        <w:t>Перечень должностных лиц, имеющих право подписи (утверждения) первичных учетных документов, денежных и расчетных документов, финансовых обязательств</w:t>
      </w:r>
      <w:r w:rsidR="00387FB0">
        <w:rPr>
          <w:rFonts w:ascii="Times New Roman" w:hAnsi="Times New Roman" w:cs="Times New Roman"/>
          <w:sz w:val="24"/>
          <w:szCs w:val="24"/>
        </w:rPr>
        <w:t>;</w:t>
      </w:r>
    </w:p>
    <w:p w:rsidR="00662F8B" w:rsidRPr="00662F8B" w:rsidRDefault="00662F8B" w:rsidP="00662F8B">
      <w:pPr>
        <w:pStyle w:val="a4"/>
        <w:numPr>
          <w:ilvl w:val="0"/>
          <w:numId w:val="9"/>
        </w:numPr>
        <w:rPr>
          <w:rFonts w:ascii="Times New Roman" w:hAnsi="Times New Roman" w:cs="Times New Roman"/>
          <w:sz w:val="24"/>
          <w:szCs w:val="24"/>
        </w:rPr>
      </w:pPr>
      <w:r w:rsidRPr="00662F8B">
        <w:rPr>
          <w:rFonts w:ascii="Times New Roman" w:hAnsi="Times New Roman" w:cs="Times New Roman"/>
          <w:sz w:val="24"/>
          <w:szCs w:val="24"/>
        </w:rPr>
        <w:t>Правила и график документооборота, а также технология обработки учетной информации</w:t>
      </w:r>
      <w:r>
        <w:rPr>
          <w:rFonts w:ascii="Times New Roman" w:hAnsi="Times New Roman" w:cs="Times New Roman"/>
          <w:sz w:val="24"/>
          <w:szCs w:val="24"/>
        </w:rPr>
        <w:t>.</w:t>
      </w:r>
    </w:p>
    <w:p w:rsidR="007D4128" w:rsidRPr="007D4128" w:rsidRDefault="007D4128" w:rsidP="00940274">
      <w:pPr>
        <w:pStyle w:val="a3"/>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128">
        <w:rPr>
          <w:rFonts w:ascii="Times New Roman" w:eastAsia="Times New Roman" w:hAnsi="Times New Roman" w:cs="Times New Roman"/>
          <w:bCs/>
          <w:sz w:val="24"/>
          <w:szCs w:val="24"/>
          <w:lang w:eastAsia="ru-RU"/>
        </w:rPr>
        <w:lastRenderedPageBreak/>
        <w:t>Самостоятельно разработанные формы регистров учета</w:t>
      </w:r>
      <w:r>
        <w:rPr>
          <w:rFonts w:ascii="Times New Roman" w:eastAsia="Times New Roman" w:hAnsi="Times New Roman" w:cs="Times New Roman"/>
          <w:bCs/>
          <w:sz w:val="24"/>
          <w:szCs w:val="24"/>
          <w:lang w:eastAsia="ru-RU"/>
        </w:rPr>
        <w:t>;</w:t>
      </w:r>
    </w:p>
    <w:p w:rsidR="007D4128" w:rsidRPr="007D4128" w:rsidRDefault="007D4128" w:rsidP="00940274">
      <w:pPr>
        <w:pStyle w:val="a3"/>
        <w:keepNext/>
        <w:keepLines/>
        <w:numPr>
          <w:ilvl w:val="0"/>
          <w:numId w:val="9"/>
        </w:numPr>
        <w:spacing w:before="120" w:after="300" w:line="240" w:lineRule="auto"/>
        <w:jc w:val="both"/>
        <w:outlineLvl w:val="0"/>
        <w:rPr>
          <w:rFonts w:ascii="Times New Roman" w:eastAsia="Times New Roman" w:hAnsi="Times New Roman" w:cs="Times New Roman"/>
          <w:spacing w:val="5"/>
          <w:kern w:val="28"/>
          <w:sz w:val="24"/>
          <w:szCs w:val="24"/>
          <w:lang w:eastAsia="ru-RU"/>
        </w:rPr>
      </w:pPr>
      <w:r w:rsidRPr="007D4128">
        <w:rPr>
          <w:rFonts w:ascii="Times New Roman" w:eastAsia="Times New Roman" w:hAnsi="Times New Roman" w:cs="Times New Roman"/>
          <w:spacing w:val="5"/>
          <w:kern w:val="28"/>
          <w:sz w:val="24"/>
          <w:szCs w:val="24"/>
          <w:lang w:eastAsia="ru-RU"/>
        </w:rPr>
        <w:t>Порядок организации и осуществления внутреннего контроля</w:t>
      </w:r>
      <w:r w:rsidR="00940274">
        <w:rPr>
          <w:rFonts w:ascii="Times New Roman" w:eastAsia="Times New Roman" w:hAnsi="Times New Roman" w:cs="Times New Roman"/>
          <w:spacing w:val="5"/>
          <w:kern w:val="28"/>
          <w:sz w:val="24"/>
          <w:szCs w:val="24"/>
          <w:lang w:eastAsia="ru-RU"/>
        </w:rPr>
        <w:t>;</w:t>
      </w:r>
    </w:p>
    <w:p w:rsidR="004C290A" w:rsidRPr="004C290A" w:rsidRDefault="007D4128" w:rsidP="00940274">
      <w:pPr>
        <w:pStyle w:val="a3"/>
        <w:keepNext/>
        <w:keepLines/>
        <w:numPr>
          <w:ilvl w:val="0"/>
          <w:numId w:val="9"/>
        </w:numPr>
        <w:autoSpaceDE w:val="0"/>
        <w:autoSpaceDN w:val="0"/>
        <w:adjustRightInd w:val="0"/>
        <w:spacing w:before="120" w:after="0" w:line="240" w:lineRule="auto"/>
        <w:jc w:val="both"/>
        <w:outlineLvl w:val="0"/>
        <w:rPr>
          <w:rFonts w:ascii="Times New Roman" w:eastAsia="Times New Roman" w:hAnsi="Times New Roman" w:cs="Times New Roman"/>
          <w:sz w:val="24"/>
          <w:szCs w:val="24"/>
          <w:lang w:eastAsia="ru-RU"/>
        </w:rPr>
      </w:pPr>
      <w:bookmarkStart w:id="4" w:name="_title_8"/>
      <w:bookmarkStart w:id="5" w:name="_ref_584780"/>
      <w:r w:rsidRPr="004C290A">
        <w:rPr>
          <w:rFonts w:ascii="Times New Roman" w:eastAsia="Times New Roman" w:hAnsi="Times New Roman" w:cs="Times New Roman"/>
          <w:spacing w:val="5"/>
          <w:kern w:val="28"/>
          <w:sz w:val="24"/>
          <w:szCs w:val="24"/>
          <w:lang w:eastAsia="ru-RU"/>
        </w:rPr>
        <w:t>Положение о комиссии по поступлению и выбытию активов</w:t>
      </w:r>
      <w:bookmarkEnd w:id="4"/>
      <w:bookmarkEnd w:id="5"/>
      <w:r w:rsidR="004C290A">
        <w:rPr>
          <w:rFonts w:ascii="Times New Roman" w:eastAsia="Times New Roman" w:hAnsi="Times New Roman" w:cs="Times New Roman"/>
          <w:spacing w:val="5"/>
          <w:kern w:val="28"/>
          <w:sz w:val="24"/>
          <w:szCs w:val="24"/>
          <w:lang w:eastAsia="ru-RU"/>
        </w:rPr>
        <w:t>;</w:t>
      </w:r>
    </w:p>
    <w:p w:rsidR="004421D0" w:rsidRPr="004421D0" w:rsidRDefault="004421D0" w:rsidP="00940274">
      <w:pPr>
        <w:pStyle w:val="a3"/>
        <w:keepNext/>
        <w:keepLines/>
        <w:numPr>
          <w:ilvl w:val="0"/>
          <w:numId w:val="9"/>
        </w:numPr>
        <w:spacing w:before="120" w:after="300" w:line="240" w:lineRule="auto"/>
        <w:jc w:val="both"/>
        <w:outlineLvl w:val="0"/>
        <w:rPr>
          <w:rFonts w:ascii="Times New Roman" w:eastAsia="Times New Roman" w:hAnsi="Times New Roman" w:cs="Times New Roman"/>
          <w:spacing w:val="5"/>
          <w:kern w:val="28"/>
          <w:sz w:val="24"/>
          <w:szCs w:val="24"/>
          <w:lang w:eastAsia="ru-RU"/>
        </w:rPr>
      </w:pPr>
      <w:bookmarkStart w:id="6" w:name="_title_9"/>
      <w:bookmarkStart w:id="7" w:name="_ref_590961"/>
      <w:r w:rsidRPr="004421D0">
        <w:rPr>
          <w:rFonts w:ascii="Times New Roman" w:eastAsia="Times New Roman" w:hAnsi="Times New Roman" w:cs="Times New Roman"/>
          <w:spacing w:val="5"/>
          <w:kern w:val="28"/>
          <w:sz w:val="24"/>
          <w:szCs w:val="24"/>
          <w:lang w:eastAsia="ru-RU"/>
        </w:rPr>
        <w:t>Порядок проведения инвентаризации активов и обязательств</w:t>
      </w:r>
      <w:bookmarkEnd w:id="6"/>
      <w:bookmarkEnd w:id="7"/>
      <w:r>
        <w:rPr>
          <w:rFonts w:ascii="Times New Roman" w:eastAsia="Times New Roman" w:hAnsi="Times New Roman" w:cs="Times New Roman"/>
          <w:spacing w:val="5"/>
          <w:kern w:val="28"/>
          <w:sz w:val="24"/>
          <w:szCs w:val="24"/>
          <w:lang w:eastAsia="ru-RU"/>
        </w:rPr>
        <w:t>;</w:t>
      </w:r>
    </w:p>
    <w:p w:rsidR="004421D0" w:rsidRPr="004421D0" w:rsidRDefault="004421D0" w:rsidP="00940274">
      <w:pPr>
        <w:pStyle w:val="a3"/>
        <w:keepNext/>
        <w:keepLines/>
        <w:numPr>
          <w:ilvl w:val="0"/>
          <w:numId w:val="9"/>
        </w:numPr>
        <w:spacing w:before="120" w:after="300" w:line="240" w:lineRule="auto"/>
        <w:jc w:val="both"/>
        <w:outlineLvl w:val="0"/>
        <w:rPr>
          <w:rFonts w:ascii="Times New Roman" w:eastAsia="Times New Roman" w:hAnsi="Times New Roman" w:cs="Times New Roman"/>
          <w:spacing w:val="5"/>
          <w:kern w:val="28"/>
          <w:sz w:val="24"/>
          <w:szCs w:val="24"/>
          <w:lang w:eastAsia="ru-RU"/>
        </w:rPr>
      </w:pPr>
      <w:bookmarkStart w:id="8" w:name="_title_10"/>
      <w:bookmarkStart w:id="9" w:name="_ref_1194896"/>
      <w:r w:rsidRPr="004421D0">
        <w:rPr>
          <w:rFonts w:ascii="Times New Roman" w:eastAsia="Times New Roman" w:hAnsi="Times New Roman" w:cs="Times New Roman"/>
          <w:spacing w:val="5"/>
          <w:kern w:val="28"/>
          <w:sz w:val="24"/>
          <w:szCs w:val="24"/>
          <w:lang w:eastAsia="ru-RU"/>
        </w:rPr>
        <w:t>Порядок передачи документов бухгалтерского учета и дел при смене руководителя, главного бухгалтера</w:t>
      </w:r>
      <w:bookmarkEnd w:id="8"/>
      <w:bookmarkEnd w:id="9"/>
      <w:r w:rsidR="004F31AD">
        <w:rPr>
          <w:rFonts w:ascii="Times New Roman" w:eastAsia="Times New Roman" w:hAnsi="Times New Roman" w:cs="Times New Roman"/>
          <w:spacing w:val="5"/>
          <w:kern w:val="28"/>
          <w:sz w:val="24"/>
          <w:szCs w:val="24"/>
          <w:lang w:eastAsia="ru-RU"/>
        </w:rPr>
        <w:t>;</w:t>
      </w:r>
    </w:p>
    <w:p w:rsidR="00F24998" w:rsidRPr="00F24998" w:rsidRDefault="004F31AD" w:rsidP="00940274">
      <w:pPr>
        <w:pStyle w:val="a3"/>
        <w:keepNext/>
        <w:keepLines/>
        <w:numPr>
          <w:ilvl w:val="0"/>
          <w:numId w:val="9"/>
        </w:numPr>
        <w:spacing w:before="120" w:after="300" w:line="240" w:lineRule="auto"/>
        <w:jc w:val="both"/>
        <w:outlineLvl w:val="0"/>
        <w:rPr>
          <w:sz w:val="24"/>
          <w:szCs w:val="24"/>
        </w:rPr>
      </w:pPr>
      <w:bookmarkStart w:id="10" w:name="_title_11"/>
      <w:bookmarkStart w:id="11" w:name="_ref_597263"/>
      <w:r w:rsidRPr="00F24998">
        <w:rPr>
          <w:rFonts w:ascii="Times New Roman" w:eastAsia="Times New Roman" w:hAnsi="Times New Roman" w:cs="Times New Roman"/>
          <w:spacing w:val="5"/>
          <w:kern w:val="28"/>
          <w:sz w:val="24"/>
          <w:szCs w:val="24"/>
          <w:lang w:eastAsia="ru-RU"/>
        </w:rPr>
        <w:t>Порядок выдачи под отчет денежных средств, составления и представления отчетов подотчетными лицами</w:t>
      </w:r>
      <w:bookmarkEnd w:id="10"/>
      <w:bookmarkEnd w:id="11"/>
      <w:r w:rsidRPr="00F24998">
        <w:rPr>
          <w:rFonts w:ascii="Times New Roman" w:eastAsia="Times New Roman" w:hAnsi="Times New Roman" w:cs="Times New Roman"/>
          <w:spacing w:val="5"/>
          <w:kern w:val="28"/>
          <w:sz w:val="24"/>
          <w:szCs w:val="24"/>
          <w:lang w:eastAsia="ru-RU"/>
        </w:rPr>
        <w:t>;</w:t>
      </w:r>
    </w:p>
    <w:p w:rsidR="00AD01FC" w:rsidRPr="00F24998" w:rsidRDefault="00F24998" w:rsidP="00940274">
      <w:pPr>
        <w:pStyle w:val="a3"/>
        <w:keepNext/>
        <w:keepLines/>
        <w:numPr>
          <w:ilvl w:val="0"/>
          <w:numId w:val="9"/>
        </w:numPr>
        <w:spacing w:before="120" w:after="300" w:line="240" w:lineRule="auto"/>
        <w:jc w:val="both"/>
        <w:outlineLvl w:val="0"/>
        <w:rPr>
          <w:rFonts w:ascii="Times New Roman" w:eastAsia="Times New Roman" w:hAnsi="Times New Roman" w:cs="Times New Roman"/>
          <w:spacing w:val="5"/>
          <w:kern w:val="28"/>
          <w:sz w:val="24"/>
          <w:szCs w:val="24"/>
          <w:lang w:eastAsia="ru-RU"/>
        </w:rPr>
      </w:pPr>
      <w:r w:rsidRPr="00F24998">
        <w:rPr>
          <w:rFonts w:ascii="Times New Roman" w:hAnsi="Times New Roman" w:cs="Times New Roman"/>
          <w:sz w:val="24"/>
          <w:szCs w:val="24"/>
        </w:rPr>
        <w:t>Положение о служебных командировках;</w:t>
      </w:r>
    </w:p>
    <w:p w:rsidR="00DA38CA" w:rsidRPr="00DA38CA" w:rsidRDefault="00DA38CA" w:rsidP="00940274">
      <w:pPr>
        <w:pStyle w:val="a3"/>
        <w:keepNext/>
        <w:keepLines/>
        <w:numPr>
          <w:ilvl w:val="0"/>
          <w:numId w:val="9"/>
        </w:numPr>
        <w:spacing w:before="120" w:after="300" w:line="240" w:lineRule="auto"/>
        <w:jc w:val="both"/>
        <w:outlineLvl w:val="0"/>
        <w:rPr>
          <w:rFonts w:ascii="Times New Roman" w:eastAsia="Times New Roman" w:hAnsi="Times New Roman" w:cs="Times New Roman"/>
          <w:spacing w:val="5"/>
          <w:kern w:val="28"/>
          <w:sz w:val="24"/>
          <w:szCs w:val="24"/>
          <w:lang w:eastAsia="ru-RU"/>
        </w:rPr>
      </w:pPr>
      <w:bookmarkStart w:id="12" w:name="_title_12"/>
      <w:bookmarkStart w:id="13" w:name="_ref_603567"/>
      <w:r w:rsidRPr="00DA38CA">
        <w:rPr>
          <w:rFonts w:ascii="Times New Roman" w:eastAsia="Times New Roman" w:hAnsi="Times New Roman" w:cs="Times New Roman"/>
          <w:spacing w:val="5"/>
          <w:kern w:val="28"/>
          <w:sz w:val="24"/>
          <w:szCs w:val="24"/>
          <w:lang w:eastAsia="ru-RU"/>
        </w:rPr>
        <w:t>Порядок выдачи под отчет денежных документов, составления и представления отчетов подотчетными лицами</w:t>
      </w:r>
      <w:bookmarkEnd w:id="12"/>
      <w:bookmarkEnd w:id="13"/>
      <w:r w:rsidR="00940274">
        <w:rPr>
          <w:rFonts w:ascii="Times New Roman" w:eastAsia="Times New Roman" w:hAnsi="Times New Roman" w:cs="Times New Roman"/>
          <w:spacing w:val="5"/>
          <w:kern w:val="28"/>
          <w:sz w:val="24"/>
          <w:szCs w:val="24"/>
          <w:lang w:eastAsia="ru-RU"/>
        </w:rPr>
        <w:t>;</w:t>
      </w:r>
    </w:p>
    <w:p w:rsidR="0089469B" w:rsidRPr="0089469B" w:rsidRDefault="0089469B" w:rsidP="00940274">
      <w:pPr>
        <w:pStyle w:val="a3"/>
        <w:keepNext/>
        <w:keepLines/>
        <w:numPr>
          <w:ilvl w:val="0"/>
          <w:numId w:val="9"/>
        </w:numPr>
        <w:spacing w:before="120" w:after="300" w:line="240" w:lineRule="auto"/>
        <w:jc w:val="both"/>
        <w:outlineLvl w:val="0"/>
        <w:rPr>
          <w:rFonts w:ascii="Times New Roman" w:eastAsia="Times New Roman" w:hAnsi="Times New Roman" w:cs="Times New Roman"/>
          <w:spacing w:val="5"/>
          <w:kern w:val="28"/>
          <w:sz w:val="24"/>
          <w:szCs w:val="24"/>
          <w:lang w:eastAsia="ru-RU"/>
        </w:rPr>
      </w:pPr>
      <w:bookmarkStart w:id="14" w:name="_title_13"/>
      <w:bookmarkStart w:id="15" w:name="_ref_609886"/>
      <w:r w:rsidRPr="0089469B">
        <w:rPr>
          <w:rFonts w:ascii="Times New Roman" w:eastAsia="Times New Roman" w:hAnsi="Times New Roman" w:cs="Times New Roman"/>
          <w:spacing w:val="5"/>
          <w:kern w:val="28"/>
          <w:sz w:val="24"/>
          <w:szCs w:val="24"/>
          <w:lang w:eastAsia="ru-RU"/>
        </w:rPr>
        <w:t>Порядок приемки, хранения, выдачи и списания бланков строгой отчетности</w:t>
      </w:r>
      <w:bookmarkEnd w:id="14"/>
      <w:bookmarkEnd w:id="15"/>
      <w:r w:rsidR="00940274">
        <w:rPr>
          <w:rFonts w:ascii="Times New Roman" w:eastAsia="Times New Roman" w:hAnsi="Times New Roman" w:cs="Times New Roman"/>
          <w:spacing w:val="5"/>
          <w:kern w:val="28"/>
          <w:sz w:val="24"/>
          <w:szCs w:val="24"/>
          <w:lang w:eastAsia="ru-RU"/>
        </w:rPr>
        <w:t>;</w:t>
      </w:r>
    </w:p>
    <w:p w:rsidR="0089469B" w:rsidRPr="0089469B" w:rsidRDefault="0089469B" w:rsidP="00940274">
      <w:pPr>
        <w:pStyle w:val="a3"/>
        <w:keepNext/>
        <w:keepLines/>
        <w:numPr>
          <w:ilvl w:val="0"/>
          <w:numId w:val="9"/>
        </w:numPr>
        <w:spacing w:before="120" w:after="300" w:line="240" w:lineRule="auto"/>
        <w:jc w:val="both"/>
        <w:outlineLvl w:val="0"/>
        <w:rPr>
          <w:rFonts w:ascii="Times New Roman" w:eastAsia="Times New Roman" w:hAnsi="Times New Roman" w:cs="Times New Roman"/>
          <w:spacing w:val="5"/>
          <w:kern w:val="28"/>
          <w:sz w:val="24"/>
          <w:szCs w:val="24"/>
          <w:lang w:eastAsia="ru-RU"/>
        </w:rPr>
      </w:pPr>
      <w:bookmarkStart w:id="16" w:name="_title_14"/>
      <w:bookmarkStart w:id="17" w:name="_ref_628573"/>
      <w:r w:rsidRPr="0089469B">
        <w:rPr>
          <w:rFonts w:ascii="Times New Roman" w:eastAsia="Times New Roman" w:hAnsi="Times New Roman" w:cs="Times New Roman"/>
          <w:spacing w:val="5"/>
          <w:kern w:val="28"/>
          <w:sz w:val="24"/>
          <w:szCs w:val="24"/>
          <w:lang w:eastAsia="ru-RU"/>
        </w:rPr>
        <w:t>Порядок формирования и использования резервов предстоящих расходов</w:t>
      </w:r>
      <w:bookmarkEnd w:id="16"/>
      <w:bookmarkEnd w:id="17"/>
      <w:r w:rsidR="00940274">
        <w:rPr>
          <w:rFonts w:ascii="Times New Roman" w:eastAsia="Times New Roman" w:hAnsi="Times New Roman" w:cs="Times New Roman"/>
          <w:spacing w:val="5"/>
          <w:kern w:val="28"/>
          <w:sz w:val="24"/>
          <w:szCs w:val="24"/>
          <w:lang w:eastAsia="ru-RU"/>
        </w:rPr>
        <w:t>;</w:t>
      </w:r>
    </w:p>
    <w:p w:rsidR="0089469B" w:rsidRPr="0089469B" w:rsidRDefault="0089469B" w:rsidP="00940274">
      <w:pPr>
        <w:pStyle w:val="a3"/>
        <w:keepNext/>
        <w:keepLines/>
        <w:numPr>
          <w:ilvl w:val="0"/>
          <w:numId w:val="9"/>
        </w:numPr>
        <w:spacing w:before="120" w:after="300" w:line="240" w:lineRule="auto"/>
        <w:jc w:val="both"/>
        <w:outlineLvl w:val="0"/>
        <w:rPr>
          <w:sz w:val="24"/>
          <w:szCs w:val="24"/>
        </w:rPr>
      </w:pPr>
      <w:r w:rsidRPr="0089469B">
        <w:rPr>
          <w:rFonts w:ascii="Times New Roman" w:eastAsia="Times New Roman" w:hAnsi="Times New Roman" w:cs="Times New Roman"/>
          <w:spacing w:val="5"/>
          <w:kern w:val="28"/>
          <w:sz w:val="24"/>
          <w:szCs w:val="24"/>
          <w:lang w:eastAsia="ru-RU"/>
        </w:rPr>
        <w:t>Порядок признания в бухгалтерском учете и раскрытия в отчетности событий после отчетной даты;</w:t>
      </w:r>
    </w:p>
    <w:p w:rsidR="00E8785B" w:rsidRPr="00E8785B" w:rsidRDefault="0089469B" w:rsidP="00940274">
      <w:pPr>
        <w:pStyle w:val="a3"/>
        <w:keepNext/>
        <w:keepLines/>
        <w:numPr>
          <w:ilvl w:val="0"/>
          <w:numId w:val="9"/>
        </w:numPr>
        <w:spacing w:before="120" w:after="300" w:line="240" w:lineRule="auto"/>
        <w:jc w:val="both"/>
        <w:outlineLvl w:val="0"/>
        <w:rPr>
          <w:sz w:val="24"/>
          <w:szCs w:val="24"/>
        </w:rPr>
      </w:pPr>
      <w:r w:rsidRPr="00E8785B">
        <w:rPr>
          <w:rFonts w:ascii="Times New Roman" w:hAnsi="Times New Roman" w:cs="Times New Roman"/>
          <w:sz w:val="24"/>
          <w:szCs w:val="24"/>
        </w:rPr>
        <w:t>Положение о расходах на телефонную и мобильную связь</w:t>
      </w:r>
      <w:r w:rsidR="00E8785B" w:rsidRPr="00E8785B">
        <w:rPr>
          <w:rFonts w:ascii="Times New Roman" w:hAnsi="Times New Roman" w:cs="Times New Roman"/>
          <w:sz w:val="24"/>
          <w:szCs w:val="24"/>
        </w:rPr>
        <w:t>;</w:t>
      </w:r>
    </w:p>
    <w:p w:rsidR="005F64F7" w:rsidRPr="005F64F7" w:rsidRDefault="00E8785B" w:rsidP="00940274">
      <w:pPr>
        <w:pStyle w:val="a3"/>
        <w:keepNext/>
        <w:keepLines/>
        <w:numPr>
          <w:ilvl w:val="0"/>
          <w:numId w:val="9"/>
        </w:numPr>
        <w:spacing w:before="120" w:after="300" w:line="240" w:lineRule="auto"/>
        <w:jc w:val="both"/>
        <w:outlineLvl w:val="0"/>
        <w:rPr>
          <w:sz w:val="24"/>
          <w:szCs w:val="24"/>
        </w:rPr>
      </w:pPr>
      <w:r w:rsidRPr="005F64F7">
        <w:rPr>
          <w:rFonts w:ascii="Times New Roman" w:hAnsi="Times New Roman" w:cs="Times New Roman"/>
          <w:sz w:val="24"/>
          <w:szCs w:val="24"/>
        </w:rPr>
        <w:t>Периодичность формирования регистров бюджетного учета на бумажных носителях в условиях комплексной автоматизации бюджетного учета</w:t>
      </w:r>
      <w:r w:rsidR="005F64F7" w:rsidRPr="005F64F7">
        <w:rPr>
          <w:rFonts w:ascii="Times New Roman" w:hAnsi="Times New Roman" w:cs="Times New Roman"/>
          <w:sz w:val="24"/>
          <w:szCs w:val="24"/>
        </w:rPr>
        <w:t>:</w:t>
      </w:r>
    </w:p>
    <w:p w:rsidR="00057DA3" w:rsidRPr="00057DA3" w:rsidRDefault="005F64F7" w:rsidP="00940274">
      <w:pPr>
        <w:pStyle w:val="a3"/>
        <w:keepNext/>
        <w:keepLines/>
        <w:numPr>
          <w:ilvl w:val="0"/>
          <w:numId w:val="9"/>
        </w:numPr>
        <w:spacing w:before="120" w:after="300" w:line="240" w:lineRule="auto"/>
        <w:jc w:val="both"/>
        <w:outlineLvl w:val="0"/>
        <w:rPr>
          <w:sz w:val="24"/>
          <w:szCs w:val="24"/>
        </w:rPr>
      </w:pPr>
      <w:r w:rsidRPr="00057DA3">
        <w:rPr>
          <w:rFonts w:ascii="Times New Roman" w:hAnsi="Times New Roman" w:cs="Times New Roman"/>
          <w:sz w:val="24"/>
          <w:szCs w:val="24"/>
        </w:rPr>
        <w:t>Состав и обязанности постоянно действующей инвентаризационной комиссии по инвентаризации наличных денежных средств в кассе учреждения</w:t>
      </w:r>
      <w:r w:rsidR="00057DA3" w:rsidRPr="00057DA3">
        <w:rPr>
          <w:rFonts w:ascii="Times New Roman" w:hAnsi="Times New Roman" w:cs="Times New Roman"/>
          <w:sz w:val="24"/>
          <w:szCs w:val="24"/>
        </w:rPr>
        <w:t>;</w:t>
      </w:r>
    </w:p>
    <w:p w:rsidR="00057DA3" w:rsidRPr="00057DA3" w:rsidRDefault="00057DA3" w:rsidP="00940274">
      <w:pPr>
        <w:pStyle w:val="a3"/>
        <w:keepNext/>
        <w:keepLines/>
        <w:numPr>
          <w:ilvl w:val="0"/>
          <w:numId w:val="9"/>
        </w:numPr>
        <w:spacing w:before="120" w:after="300" w:line="240" w:lineRule="auto"/>
        <w:jc w:val="both"/>
        <w:outlineLvl w:val="0"/>
        <w:rPr>
          <w:rFonts w:ascii="Times New Roman" w:hAnsi="Times New Roman" w:cs="Times New Roman"/>
          <w:sz w:val="24"/>
          <w:szCs w:val="24"/>
        </w:rPr>
      </w:pPr>
      <w:r w:rsidRPr="00057DA3">
        <w:rPr>
          <w:rFonts w:ascii="Times New Roman" w:hAnsi="Times New Roman" w:cs="Times New Roman"/>
          <w:sz w:val="24"/>
          <w:szCs w:val="24"/>
        </w:rPr>
        <w:t>Порядок распределения расходования средств обязательного медицинского страхования</w:t>
      </w:r>
      <w:r w:rsidR="00940274">
        <w:rPr>
          <w:rFonts w:ascii="Times New Roman" w:hAnsi="Times New Roman" w:cs="Times New Roman"/>
          <w:sz w:val="24"/>
          <w:szCs w:val="24"/>
        </w:rPr>
        <w:t>;</w:t>
      </w:r>
      <w:bookmarkStart w:id="18" w:name="_GoBack"/>
      <w:bookmarkEnd w:id="18"/>
    </w:p>
    <w:p w:rsidR="002E0333" w:rsidRPr="002E0333" w:rsidRDefault="002E0333" w:rsidP="00940274">
      <w:pPr>
        <w:pStyle w:val="a3"/>
        <w:numPr>
          <w:ilvl w:val="0"/>
          <w:numId w:val="9"/>
        </w:numPr>
        <w:spacing w:line="240" w:lineRule="atLeast"/>
        <w:jc w:val="both"/>
        <w:rPr>
          <w:rFonts w:ascii="Times New Roman" w:hAnsi="Times New Roman" w:cs="Times New Roman"/>
          <w:sz w:val="24"/>
          <w:szCs w:val="24"/>
        </w:rPr>
      </w:pPr>
      <w:bookmarkStart w:id="19" w:name="_Toc310593516"/>
      <w:r w:rsidRPr="002E0333">
        <w:rPr>
          <w:rFonts w:ascii="Times New Roman" w:hAnsi="Times New Roman" w:cs="Times New Roman"/>
          <w:sz w:val="24"/>
          <w:szCs w:val="24"/>
        </w:rPr>
        <w:t xml:space="preserve">Формы заявлений: на </w:t>
      </w:r>
      <w:bookmarkEnd w:id="19"/>
      <w:r w:rsidRPr="002E0333">
        <w:rPr>
          <w:rFonts w:ascii="Times New Roman" w:hAnsi="Times New Roman" w:cs="Times New Roman"/>
          <w:sz w:val="24"/>
          <w:szCs w:val="24"/>
        </w:rPr>
        <w:t>предоставление стандартных налоговых вычетов; о перечислении заработной платы, социальных выплат и прочих платежей на банковскую карту на условиях, определенных внутренним локальным актом</w:t>
      </w:r>
    </w:p>
    <w:p w:rsidR="00387FB0" w:rsidRPr="00323908" w:rsidRDefault="00387FB0" w:rsidP="002E0333">
      <w:pPr>
        <w:pStyle w:val="a3"/>
        <w:jc w:val="both"/>
        <w:rPr>
          <w:rFonts w:ascii="Times New Roman" w:hAnsi="Times New Roman" w:cs="Times New Roman"/>
          <w:sz w:val="24"/>
          <w:szCs w:val="24"/>
        </w:rPr>
      </w:pPr>
    </w:p>
    <w:sectPr w:rsidR="00387FB0" w:rsidRPr="00323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06BE"/>
    <w:multiLevelType w:val="hybridMultilevel"/>
    <w:tmpl w:val="CCE067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93444"/>
    <w:multiLevelType w:val="hybridMultilevel"/>
    <w:tmpl w:val="9CA05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C85D8A"/>
    <w:multiLevelType w:val="hybridMultilevel"/>
    <w:tmpl w:val="0088DE40"/>
    <w:lvl w:ilvl="0" w:tplc="2ADED53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3E5698"/>
    <w:multiLevelType w:val="hybridMultilevel"/>
    <w:tmpl w:val="67CECF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B109AA"/>
    <w:multiLevelType w:val="hybridMultilevel"/>
    <w:tmpl w:val="E9A62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DE148E"/>
    <w:multiLevelType w:val="hybridMultilevel"/>
    <w:tmpl w:val="5FAA8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7" w15:restartNumberingAfterBreak="0">
    <w:nsid w:val="515A27CA"/>
    <w:multiLevelType w:val="hybridMultilevel"/>
    <w:tmpl w:val="E850DEF4"/>
    <w:lvl w:ilvl="0" w:tplc="3D1CED3E">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BB4D4A"/>
    <w:multiLevelType w:val="hybridMultilevel"/>
    <w:tmpl w:val="7CB461B2"/>
    <w:lvl w:ilvl="0" w:tplc="297CE45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1767F9"/>
    <w:multiLevelType w:val="hybridMultilevel"/>
    <w:tmpl w:val="F42E49C2"/>
    <w:lvl w:ilvl="0" w:tplc="96468A6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7"/>
  </w:num>
  <w:num w:numId="6">
    <w:abstractNumId w:val="1"/>
  </w:num>
  <w:num w:numId="7">
    <w:abstractNumId w:val="8"/>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D0"/>
    <w:rsid w:val="00057DA3"/>
    <w:rsid w:val="002E0333"/>
    <w:rsid w:val="00323908"/>
    <w:rsid w:val="00387FB0"/>
    <w:rsid w:val="003F77D0"/>
    <w:rsid w:val="004421D0"/>
    <w:rsid w:val="004C290A"/>
    <w:rsid w:val="004F31AD"/>
    <w:rsid w:val="005F5D28"/>
    <w:rsid w:val="005F64F7"/>
    <w:rsid w:val="00636568"/>
    <w:rsid w:val="00662F8B"/>
    <w:rsid w:val="00754FBA"/>
    <w:rsid w:val="007D4128"/>
    <w:rsid w:val="0089469B"/>
    <w:rsid w:val="008C2958"/>
    <w:rsid w:val="00940274"/>
    <w:rsid w:val="00A57580"/>
    <w:rsid w:val="00AD01FC"/>
    <w:rsid w:val="00B352F5"/>
    <w:rsid w:val="00CB0A56"/>
    <w:rsid w:val="00D8162C"/>
    <w:rsid w:val="00DA38CA"/>
    <w:rsid w:val="00E27605"/>
    <w:rsid w:val="00E8785B"/>
    <w:rsid w:val="00F24998"/>
    <w:rsid w:val="00FD2DDA"/>
    <w:rsid w:val="00FF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73078-4A21-42EF-8F52-E766ED6B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23908"/>
    <w:pPr>
      <w:keepNext/>
      <w:keepLines/>
      <w:numPr>
        <w:numId w:val="10"/>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323908"/>
    <w:pPr>
      <w:numPr>
        <w:ilvl w:val="1"/>
        <w:numId w:val="10"/>
      </w:numPr>
      <w:spacing w:before="120" w:after="120" w:line="276" w:lineRule="auto"/>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323908"/>
    <w:pPr>
      <w:numPr>
        <w:ilvl w:val="2"/>
        <w:numId w:val="10"/>
      </w:num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323908"/>
    <w:pPr>
      <w:numPr>
        <w:ilvl w:val="3"/>
        <w:numId w:val="10"/>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323908"/>
    <w:pPr>
      <w:keepNext/>
      <w:keepLines/>
      <w:numPr>
        <w:ilvl w:val="4"/>
        <w:numId w:val="10"/>
      </w:numPr>
      <w:spacing w:before="200" w:after="0" w:line="276" w:lineRule="auto"/>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323908"/>
    <w:pPr>
      <w:keepNext/>
      <w:keepLines/>
      <w:numPr>
        <w:ilvl w:val="5"/>
        <w:numId w:val="10"/>
      </w:numPr>
      <w:spacing w:before="200" w:after="0" w:line="276" w:lineRule="auto"/>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323908"/>
    <w:pPr>
      <w:keepNext/>
      <w:keepLines/>
      <w:numPr>
        <w:ilvl w:val="6"/>
        <w:numId w:val="10"/>
      </w:numPr>
      <w:spacing w:before="200" w:after="0" w:line="276" w:lineRule="auto"/>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323908"/>
    <w:pPr>
      <w:keepNext/>
      <w:keepLines/>
      <w:numPr>
        <w:ilvl w:val="7"/>
        <w:numId w:val="10"/>
      </w:numPr>
      <w:spacing w:before="200" w:after="0" w:line="276" w:lineRule="auto"/>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323908"/>
    <w:pPr>
      <w:keepNext/>
      <w:keepLines/>
      <w:numPr>
        <w:ilvl w:val="8"/>
        <w:numId w:val="10"/>
      </w:numPr>
      <w:spacing w:before="200" w:after="0" w:line="276" w:lineRule="auto"/>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A56"/>
    <w:pPr>
      <w:ind w:left="720"/>
      <w:contextualSpacing/>
    </w:pPr>
  </w:style>
  <w:style w:type="paragraph" w:styleId="a4">
    <w:name w:val="Title"/>
    <w:aliases w:val="Текст сноски Знак"/>
    <w:basedOn w:val="a"/>
    <w:next w:val="a"/>
    <w:link w:val="a5"/>
    <w:uiPriority w:val="10"/>
    <w:qFormat/>
    <w:rsid w:val="00E27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aliases w:val="Текст сноски Знак Знак"/>
    <w:basedOn w:val="a0"/>
    <w:link w:val="a4"/>
    <w:uiPriority w:val="10"/>
    <w:rsid w:val="00E27605"/>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32390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32390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32390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32390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32390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32390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32390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32390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323908"/>
    <w:rPr>
      <w:rFonts w:ascii="Times New Roman" w:eastAsia="Times New Roman" w:hAnsi="Times New Roman" w:cs="Times New Roman"/>
      <w:i/>
      <w:iCs/>
      <w:color w:val="404040"/>
      <w:szCs w:val="20"/>
      <w:lang w:eastAsia="ru-RU"/>
    </w:rPr>
  </w:style>
  <w:style w:type="paragraph" w:customStyle="1" w:styleId="2TimesNewRoman">
    <w:name w:val="Стиль Заголовок 2 + Times New Roman По центру"/>
    <w:basedOn w:val="2"/>
    <w:rsid w:val="0089469B"/>
    <w:pPr>
      <w:keepNext/>
      <w:numPr>
        <w:ilvl w:val="0"/>
        <w:numId w:val="0"/>
      </w:numPr>
      <w:spacing w:before="240" w:after="60" w:line="240" w:lineRule="auto"/>
      <w:jc w:val="center"/>
    </w:pPr>
    <w:rPr>
      <w:b/>
      <w:i/>
      <w:iCs/>
      <w:sz w:val="28"/>
      <w:szCs w:val="20"/>
    </w:rPr>
  </w:style>
  <w:style w:type="paragraph" w:styleId="a6">
    <w:name w:val="Balloon Text"/>
    <w:basedOn w:val="a"/>
    <w:link w:val="a7"/>
    <w:uiPriority w:val="99"/>
    <w:semiHidden/>
    <w:unhideWhenUsed/>
    <w:rsid w:val="00D8162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1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543</Words>
  <Characters>3098</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Порядок организации и осуществления внутреннего контроля;</vt:lpstr>
      <vt:lpstr>Порядок признания в бухгалтерском учете и раскрытия в отчетности событий после о</vt:lpstr>
      <vt:lpstr>Учет отдельных видов имущества и обязательств</vt:lpstr>
      <vt:lpstr>Методы оценки объектов бухгалтерского учета, порядок признания (постановки на уч</vt:lpstr>
      <vt:lpstr>Порядок проведения инвентаризации активов, имущества, учитываемого на забалансов</vt:lpstr>
      <vt:lpstr>Иные способы ведения бухгалтерского учета, необходимые для организации ведения у</vt:lpstr>
      <vt:lpstr>Бухгалтерская (финансовая) отчетность</vt:lpstr>
      <vt:lpstr>Бухгалтерская отчетность формируется и храниться в форме электронного документа </vt:lpstr>
      <vt:lpstr>    Формы первичных документов, применяемые для оформления финансово-хозяйственных о</vt:lpstr>
      <vt:lpstr>Порядок организации и осуществления внутреннего контроля</vt:lpstr>
      <vt:lpstr>Положение о комиссии по поступлению и выбытию активов;</vt:lpstr>
      <vt:lpstr>Порядок проведения инвентаризации активов и обязательств;</vt:lpstr>
      <vt:lpstr>Порядок передачи документов бухгалтерского учета и дел при смене руководителя, г</vt:lpstr>
      <vt:lpstr>Порядок выдачи под отчет денежных средств, составления и представления отчетов п</vt:lpstr>
      <vt:lpstr>Положение о служебных командировках;</vt:lpstr>
      <vt:lpstr>Порядок выдачи под отчет денежных документов, составления и представления отчето</vt:lpstr>
      <vt:lpstr>Порядок приемки, хранения, выдачи и списания бланков строгой отчетности</vt:lpstr>
      <vt:lpstr>Порядок формирования и использования резервов предстоящих расходов</vt:lpstr>
      <vt:lpstr>Порядок признания в бухгалтерском учете и раскрытия в отчетности событий после о</vt:lpstr>
      <vt:lpstr>Положение о расходах на телефонную и мобильную связь;</vt:lpstr>
      <vt:lpstr>Периодичность формирования регистров бюджетного учета на бумажных носителях в ус</vt:lpstr>
      <vt:lpstr>Состав и обязанности постоянно действующей инвентаризационной комиссии по инвент</vt:lpstr>
      <vt:lpstr>Порядок распределения расходования средств обязательного медицинского страховани</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Нэлли Ивановна</dc:creator>
  <cp:keywords/>
  <dc:description/>
  <cp:lastModifiedBy>Сергеева Нэлли Ивановна</cp:lastModifiedBy>
  <cp:revision>22</cp:revision>
  <cp:lastPrinted>2019-07-03T14:52:00Z</cp:lastPrinted>
  <dcterms:created xsi:type="dcterms:W3CDTF">2019-07-02T11:40:00Z</dcterms:created>
  <dcterms:modified xsi:type="dcterms:W3CDTF">2019-07-04T13:26:00Z</dcterms:modified>
</cp:coreProperties>
</file>